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Yu Gothic" w:hAnsi="Yu Gothic" w:eastAsia="Yu Gothic"/>
          <w:b/>
          <w:color w:val="1F4D78"/>
          <w:sz w:val="44"/>
        </w:rPr>
        <w:t>個別注記表ひな形</w:t>
      </w:r>
    </w:p>
    <w:p>
      <w:pPr>
        <w:spacing w:before="0" w:after="240" w:line="300" w:lineRule="auto"/>
      </w:pPr>
      <w:r>
        <w:rPr>
          <w:rFonts w:ascii="Yu Gothic" w:hAnsi="Yu Gothic" w:eastAsia="Yu Gothic"/>
          <w:b w:val="0"/>
          <w:i w:val="0"/>
          <w:color w:val="595959"/>
          <w:sz w:val="25"/>
        </w:rPr>
        <w:t>中小企業向け・経常利用項目メイン・削除式テンプレート</w:t>
      </w:r>
    </w:p>
    <w:tbl>
      <w:tblPr>
        <w:tblW w:type="dxa" w:w="9360"/>
        <w:jc w:val="left"/>
        <w:tblLayout w:type="fixed"/>
        <w:tblLook w:firstColumn="1" w:firstRow="1" w:lastColumn="0" w:lastRow="0" w:noHBand="0" w:noVBand="1" w:val="04A0"/>
        <w:tblInd w:w="120" w:type="dxa"/>
      </w:tblPr>
      <w:tblGrid>
        <w:gridCol w:w="1900"/>
        <w:gridCol w:w="7460"/>
      </w:tblGrid>
      <w:tr>
        <w:tc>
          <w:tcPr>
            <w:tcW w:type="dxa" w:w="190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項目</w:t>
            </w:r>
          </w:p>
        </w:tc>
        <w:tc>
          <w:tcPr>
            <w:tcW w:type="dxa" w:w="746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内容</w:t>
            </w:r>
          </w:p>
        </w:tc>
      </w:tr>
      <w:tr>
        <w:tc>
          <w:tcPr>
            <w:tcW w:type="dxa" w:w="1900"/>
          </w:tcPr>
          <w:p>
            <w:pPr>
              <w:spacing w:before="0" w:after="40" w:line="276" w:lineRule="auto"/>
            </w:pPr>
            <w:r>
              <w:rPr>
                <w:rFonts w:ascii="Yu Gothic" w:hAnsi="Yu Gothic" w:eastAsia="Yu Gothic"/>
                <w:b w:val="0"/>
                <w:color w:val="222222"/>
                <w:sz w:val="19"/>
              </w:rPr>
              <w:t>想定対象</w:t>
            </w:r>
          </w:p>
        </w:tc>
        <w:tc>
          <w:tcPr>
            <w:tcW w:type="dxa" w:w="7460"/>
          </w:tcPr>
          <w:p>
            <w:pPr>
              <w:spacing w:before="0" w:after="40" w:line="276" w:lineRule="auto"/>
            </w:pPr>
            <w:r>
              <w:rPr>
                <w:rFonts w:ascii="Yu Gothic" w:hAnsi="Yu Gothic" w:eastAsia="Yu Gothic"/>
                <w:b w:val="0"/>
                <w:color w:val="222222"/>
                <w:sz w:val="19"/>
              </w:rPr>
              <w:t>会計監査人設置会社以外の株式会社（公開会社を除く。）を中心とした中小企業</w:t>
            </w:r>
          </w:p>
        </w:tc>
      </w:tr>
      <w:tr>
        <w:tc>
          <w:tcPr>
            <w:tcW w:type="dxa" w:w="1900"/>
          </w:tcPr>
          <w:p>
            <w:pPr>
              <w:spacing w:before="0" w:after="40" w:line="276" w:lineRule="auto"/>
            </w:pPr>
            <w:r>
              <w:rPr>
                <w:rFonts w:ascii="Yu Gothic" w:hAnsi="Yu Gothic" w:eastAsia="Yu Gothic"/>
                <w:b w:val="0"/>
                <w:color w:val="222222"/>
                <w:sz w:val="19"/>
              </w:rPr>
              <w:t>使い方</w:t>
            </w:r>
          </w:p>
        </w:tc>
        <w:tc>
          <w:tcPr>
            <w:tcW w:type="dxa" w:w="7460"/>
          </w:tcPr>
          <w:p>
            <w:pPr>
              <w:spacing w:before="0" w:after="40" w:line="276" w:lineRule="auto"/>
            </w:pPr>
            <w:r>
              <w:rPr>
                <w:rFonts w:ascii="Yu Gothic" w:hAnsi="Yu Gothic" w:eastAsia="Yu Gothic"/>
                <w:b w:val="0"/>
                <w:color w:val="222222"/>
                <w:sz w:val="19"/>
              </w:rPr>
              <w:t>提出用ひな形のうち、該当しない項目を削除し、［ ］や○○部分を顧問先の実態に合わせて差し替える</w:t>
            </w:r>
          </w:p>
        </w:tc>
      </w:tr>
      <w:tr>
        <w:tc>
          <w:tcPr>
            <w:tcW w:type="dxa" w:w="1900"/>
          </w:tcPr>
          <w:p>
            <w:pPr>
              <w:spacing w:before="0" w:after="40" w:line="276" w:lineRule="auto"/>
            </w:pPr>
            <w:r>
              <w:rPr>
                <w:rFonts w:ascii="Yu Gothic" w:hAnsi="Yu Gothic" w:eastAsia="Yu Gothic"/>
                <w:b w:val="0"/>
                <w:color w:val="222222"/>
                <w:sz w:val="19"/>
              </w:rPr>
              <w:t>参照箇所</w:t>
            </w:r>
          </w:p>
        </w:tc>
        <w:tc>
          <w:tcPr>
            <w:tcW w:type="dxa" w:w="7460"/>
          </w:tcPr>
          <w:p>
            <w:pPr>
              <w:spacing w:before="0" w:after="40" w:line="276" w:lineRule="auto"/>
            </w:pPr>
            <w:r>
              <w:rPr>
                <w:rFonts w:ascii="Yu Gothic" w:hAnsi="Yu Gothic" w:eastAsia="Yu Gothic"/>
                <w:b w:val="0"/>
                <w:color w:val="222222"/>
                <w:sz w:val="19"/>
              </w:rPr>
              <w:t>中小企業の会計に関する指針 83-87、個別注記表の規定・例示、株主資本等変動計算書注記例、収益の計上基準注記例</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FFF2CC"/>
          </w:tcPr>
          <w:p>
            <w:pPr>
              <w:spacing w:after="40"/>
            </w:pPr>
            <w:r>
              <w:rPr>
                <w:rFonts w:ascii="Yu Gothic" w:hAnsi="Yu Gothic" w:eastAsia="Yu Gothic"/>
                <w:b/>
                <w:color w:val="7A5A00"/>
                <w:sz w:val="21"/>
              </w:rPr>
              <w:t xml:space="preserve">編集メモ </w:t>
            </w:r>
            <w:r>
              <w:rPr>
                <w:rFonts w:ascii="Yu Gothic" w:hAnsi="Yu Gothic" w:eastAsia="Yu Gothic"/>
                <w:color w:val="222222"/>
                <w:sz w:val="21"/>
              </w:rPr>
              <w:t>この文書は、PDF内の個別注記表の部分を根拠に、通常の中小企業で使いやすい項目へ絞った作成補助用です。公開会社、会計監査人設置会社、連結対象会社などは追加注記が必要になる可能性があります。</w:t>
            </w:r>
          </w:p>
        </w:tc>
      </w:tr>
    </w:tbl>
    <w:p>
      <w:pPr>
        <w:pStyle w:val="Heading1"/>
        <w:keepNext/>
        <w:spacing w:before="360" w:after="200"/>
      </w:pPr>
      <w:r>
        <w:rPr>
          <w:rFonts w:ascii="Yu Gothic" w:hAnsi="Yu Gothic" w:eastAsia="Yu Gothic"/>
          <w:b/>
          <w:color w:val="2E74B5"/>
          <w:sz w:val="32"/>
        </w:rPr>
        <w:t>削除判断ガイド</w:t>
      </w:r>
    </w:p>
    <w:tbl>
      <w:tblPr>
        <w:tblW w:type="dxa" w:w="9360"/>
        <w:jc w:val="left"/>
        <w:tblLayout w:type="fixed"/>
        <w:tblLook w:firstColumn="1" w:firstRow="1" w:lastColumn="0" w:lastRow="0" w:noHBand="0" w:noVBand="1" w:val="04A0"/>
        <w:tblInd w:w="120" w:type="dxa"/>
      </w:tblPr>
      <w:tblGrid>
        <w:gridCol w:w="1500"/>
        <w:gridCol w:w="2300"/>
        <w:gridCol w:w="3000"/>
        <w:gridCol w:w="2560"/>
      </w:tblGrid>
      <w:tr>
        <w:tc>
          <w:tcPr>
            <w:tcW w:type="dxa" w:w="150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区分</w:t>
            </w:r>
          </w:p>
        </w:tc>
        <w:tc>
          <w:tcPr>
            <w:tcW w:type="dxa" w:w="230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項目</w:t>
            </w:r>
          </w:p>
        </w:tc>
        <w:tc>
          <w:tcPr>
            <w:tcW w:type="dxa" w:w="300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残す目安</w:t>
            </w:r>
          </w:p>
        </w:tc>
        <w:tc>
          <w:tcPr>
            <w:tcW w:type="dxa" w:w="256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削除する目安</w:t>
            </w:r>
          </w:p>
        </w:tc>
      </w:tr>
      <w:tr>
        <w:tc>
          <w:tcPr>
            <w:tcW w:type="dxa" w:w="1500"/>
          </w:tcPr>
          <w:p>
            <w:pPr>
              <w:spacing w:before="0" w:after="40" w:line="276" w:lineRule="auto"/>
            </w:pPr>
            <w:r>
              <w:rPr>
                <w:rFonts w:ascii="Yu Gothic" w:hAnsi="Yu Gothic" w:eastAsia="Yu Gothic"/>
                <w:b w:val="0"/>
                <w:color w:val="222222"/>
                <w:sz w:val="19"/>
              </w:rPr>
              <w:t>通常残す</w:t>
            </w:r>
          </w:p>
        </w:tc>
        <w:tc>
          <w:tcPr>
            <w:tcW w:type="dxa" w:w="2300"/>
          </w:tcPr>
          <w:p>
            <w:pPr>
              <w:spacing w:before="0" w:after="40" w:line="276" w:lineRule="auto"/>
            </w:pPr>
            <w:r>
              <w:rPr>
                <w:rFonts w:ascii="Yu Gothic" w:hAnsi="Yu Gothic" w:eastAsia="Yu Gothic"/>
                <w:b w:val="0"/>
                <w:color w:val="222222"/>
                <w:sz w:val="19"/>
              </w:rPr>
              <w:t>本指針によることの注記</w:t>
            </w:r>
          </w:p>
        </w:tc>
        <w:tc>
          <w:tcPr>
            <w:tcW w:type="dxa" w:w="3000"/>
          </w:tcPr>
          <w:p>
            <w:pPr>
              <w:spacing w:before="0" w:after="40" w:line="276" w:lineRule="auto"/>
            </w:pPr>
            <w:r>
              <w:rPr>
                <w:rFonts w:ascii="Yu Gothic" w:hAnsi="Yu Gothic" w:eastAsia="Yu Gothic"/>
                <w:b w:val="0"/>
                <w:color w:val="222222"/>
                <w:sz w:val="19"/>
              </w:rPr>
              <w:t>中小企業の会計に関する指針により作成する場合</w:t>
            </w:r>
          </w:p>
        </w:tc>
        <w:tc>
          <w:tcPr>
            <w:tcW w:type="dxa" w:w="2560"/>
          </w:tcPr>
          <w:p>
            <w:pPr>
              <w:spacing w:before="0" w:after="40" w:line="276" w:lineRule="auto"/>
            </w:pPr>
            <w:r>
              <w:rPr>
                <w:rFonts w:ascii="Yu Gothic" w:hAnsi="Yu Gothic" w:eastAsia="Yu Gothic"/>
                <w:b w:val="0"/>
                <w:color w:val="222222"/>
                <w:sz w:val="19"/>
              </w:rPr>
              <w:t>別の会計基準・会計要領で作成する場合は文言を差し替え</w:t>
            </w:r>
          </w:p>
        </w:tc>
      </w:tr>
      <w:tr>
        <w:tc>
          <w:tcPr>
            <w:tcW w:type="dxa" w:w="1500"/>
          </w:tcPr>
          <w:p>
            <w:pPr>
              <w:spacing w:before="0" w:after="40" w:line="276" w:lineRule="auto"/>
            </w:pPr>
            <w:r>
              <w:rPr>
                <w:rFonts w:ascii="Yu Gothic" w:hAnsi="Yu Gothic" w:eastAsia="Yu Gothic"/>
                <w:b w:val="0"/>
                <w:color w:val="222222"/>
                <w:sz w:val="19"/>
              </w:rPr>
              <w:t>通常残す</w:t>
            </w:r>
          </w:p>
        </w:tc>
        <w:tc>
          <w:tcPr>
            <w:tcW w:type="dxa" w:w="2300"/>
          </w:tcPr>
          <w:p>
            <w:pPr>
              <w:spacing w:before="0" w:after="40" w:line="276" w:lineRule="auto"/>
            </w:pPr>
            <w:r>
              <w:rPr>
                <w:rFonts w:ascii="Yu Gothic" w:hAnsi="Yu Gothic" w:eastAsia="Yu Gothic"/>
                <w:b w:val="0"/>
                <w:color w:val="222222"/>
                <w:sz w:val="19"/>
              </w:rPr>
              <w:t>重要な会計方針</w:t>
            </w:r>
          </w:p>
        </w:tc>
        <w:tc>
          <w:tcPr>
            <w:tcW w:type="dxa" w:w="3000"/>
          </w:tcPr>
          <w:p>
            <w:pPr>
              <w:spacing w:before="0" w:after="40" w:line="276" w:lineRule="auto"/>
            </w:pPr>
            <w:r>
              <w:rPr>
                <w:rFonts w:ascii="Yu Gothic" w:hAnsi="Yu Gothic" w:eastAsia="Yu Gothic"/>
                <w:b w:val="0"/>
                <w:color w:val="222222"/>
                <w:sz w:val="19"/>
              </w:rPr>
              <w:t>棚卸資産、固定資産、引当金、収益、消費税処理などを記載</w:t>
            </w:r>
          </w:p>
        </w:tc>
        <w:tc>
          <w:tcPr>
            <w:tcW w:type="dxa" w:w="2560"/>
          </w:tcPr>
          <w:p>
            <w:pPr>
              <w:spacing w:before="0" w:after="40" w:line="276" w:lineRule="auto"/>
            </w:pPr>
            <w:r>
              <w:rPr>
                <w:rFonts w:ascii="Yu Gothic" w:hAnsi="Yu Gothic" w:eastAsia="Yu Gothic"/>
                <w:b w:val="0"/>
                <w:color w:val="222222"/>
                <w:sz w:val="19"/>
              </w:rPr>
              <w:t>該当しない小項目だけ削除</w:t>
            </w:r>
          </w:p>
        </w:tc>
      </w:tr>
      <w:tr>
        <w:tc>
          <w:tcPr>
            <w:tcW w:type="dxa" w:w="1500"/>
          </w:tcPr>
          <w:p>
            <w:pPr>
              <w:spacing w:before="0" w:after="40" w:line="276" w:lineRule="auto"/>
            </w:pPr>
            <w:r>
              <w:rPr>
                <w:rFonts w:ascii="Yu Gothic" w:hAnsi="Yu Gothic" w:eastAsia="Yu Gothic"/>
                <w:b w:val="0"/>
                <w:color w:val="222222"/>
                <w:sz w:val="19"/>
              </w:rPr>
              <w:t>通常残す</w:t>
            </w:r>
          </w:p>
        </w:tc>
        <w:tc>
          <w:tcPr>
            <w:tcW w:type="dxa" w:w="2300"/>
          </w:tcPr>
          <w:p>
            <w:pPr>
              <w:spacing w:before="0" w:after="40" w:line="276" w:lineRule="auto"/>
            </w:pPr>
            <w:r>
              <w:rPr>
                <w:rFonts w:ascii="Yu Gothic" w:hAnsi="Yu Gothic" w:eastAsia="Yu Gothic"/>
                <w:b w:val="0"/>
                <w:color w:val="222222"/>
                <w:sz w:val="19"/>
              </w:rPr>
              <w:t>株主資本等変動計算書に関する注記</w:t>
            </w:r>
          </w:p>
        </w:tc>
        <w:tc>
          <w:tcPr>
            <w:tcW w:type="dxa" w:w="3000"/>
          </w:tcPr>
          <w:p>
            <w:pPr>
              <w:spacing w:before="0" w:after="40" w:line="276" w:lineRule="auto"/>
            </w:pPr>
            <w:r>
              <w:rPr>
                <w:rFonts w:ascii="Yu Gothic" w:hAnsi="Yu Gothic" w:eastAsia="Yu Gothic"/>
                <w:b w:val="0"/>
                <w:color w:val="222222"/>
                <w:sz w:val="19"/>
              </w:rPr>
              <w:t>株式会社で発行済株式数を記載する場合</w:t>
            </w:r>
          </w:p>
        </w:tc>
        <w:tc>
          <w:tcPr>
            <w:tcW w:type="dxa" w:w="2560"/>
          </w:tcPr>
          <w:p>
            <w:pPr>
              <w:spacing w:before="0" w:after="40" w:line="276" w:lineRule="auto"/>
            </w:pPr>
            <w:r>
              <w:rPr>
                <w:rFonts w:ascii="Yu Gothic" w:hAnsi="Yu Gothic" w:eastAsia="Yu Gothic"/>
                <w:b w:val="0"/>
                <w:color w:val="222222"/>
                <w:sz w:val="19"/>
              </w:rPr>
              <w:t>持分会社など対象外の場合</w:t>
            </w:r>
          </w:p>
        </w:tc>
      </w:tr>
      <w:tr>
        <w:tc>
          <w:tcPr>
            <w:tcW w:type="dxa" w:w="1500"/>
          </w:tcPr>
          <w:p>
            <w:pPr>
              <w:spacing w:before="0" w:after="40" w:line="276" w:lineRule="auto"/>
            </w:pPr>
            <w:r>
              <w:rPr>
                <w:rFonts w:ascii="Yu Gothic" w:hAnsi="Yu Gothic" w:eastAsia="Yu Gothic"/>
                <w:b w:val="0"/>
                <w:color w:val="222222"/>
                <w:sz w:val="19"/>
              </w:rPr>
              <w:t>該当時に残す</w:t>
            </w:r>
          </w:p>
        </w:tc>
        <w:tc>
          <w:tcPr>
            <w:tcW w:type="dxa" w:w="2300"/>
          </w:tcPr>
          <w:p>
            <w:pPr>
              <w:spacing w:before="0" w:after="40" w:line="276" w:lineRule="auto"/>
            </w:pPr>
            <w:r>
              <w:rPr>
                <w:rFonts w:ascii="Yu Gothic" w:hAnsi="Yu Gothic" w:eastAsia="Yu Gothic"/>
                <w:b w:val="0"/>
                <w:color w:val="222222"/>
                <w:sz w:val="19"/>
              </w:rPr>
              <w:t>会計方針の変更・表示方法の変更</w:t>
            </w:r>
          </w:p>
        </w:tc>
        <w:tc>
          <w:tcPr>
            <w:tcW w:type="dxa" w:w="3000"/>
          </w:tcPr>
          <w:p>
            <w:pPr>
              <w:spacing w:before="0" w:after="40" w:line="276" w:lineRule="auto"/>
            </w:pPr>
            <w:r>
              <w:rPr>
                <w:rFonts w:ascii="Yu Gothic" w:hAnsi="Yu Gothic" w:eastAsia="Yu Gothic"/>
                <w:b w:val="0"/>
                <w:color w:val="222222"/>
                <w:sz w:val="19"/>
              </w:rPr>
              <w:t>前期から会計処理や表示を変更した場合</w:t>
            </w:r>
          </w:p>
        </w:tc>
        <w:tc>
          <w:tcPr>
            <w:tcW w:type="dxa" w:w="2560"/>
          </w:tcPr>
          <w:p>
            <w:pPr>
              <w:spacing w:before="0" w:after="40" w:line="276" w:lineRule="auto"/>
            </w:pPr>
            <w:r>
              <w:rPr>
                <w:rFonts w:ascii="Yu Gothic" w:hAnsi="Yu Gothic" w:eastAsia="Yu Gothic"/>
                <w:b w:val="0"/>
                <w:color w:val="222222"/>
                <w:sz w:val="19"/>
              </w:rPr>
              <w:t>変更なしの場合</w:t>
            </w:r>
          </w:p>
        </w:tc>
      </w:tr>
      <w:tr>
        <w:tc>
          <w:tcPr>
            <w:tcW w:type="dxa" w:w="1500"/>
          </w:tcPr>
          <w:p>
            <w:pPr>
              <w:spacing w:before="0" w:after="40" w:line="276" w:lineRule="auto"/>
            </w:pPr>
            <w:r>
              <w:rPr>
                <w:rFonts w:ascii="Yu Gothic" w:hAnsi="Yu Gothic" w:eastAsia="Yu Gothic"/>
                <w:b w:val="0"/>
                <w:color w:val="222222"/>
                <w:sz w:val="19"/>
              </w:rPr>
              <w:t>該当時に残す</w:t>
            </w:r>
          </w:p>
        </w:tc>
        <w:tc>
          <w:tcPr>
            <w:tcW w:type="dxa" w:w="2300"/>
          </w:tcPr>
          <w:p>
            <w:pPr>
              <w:spacing w:before="0" w:after="40" w:line="276" w:lineRule="auto"/>
            </w:pPr>
            <w:r>
              <w:rPr>
                <w:rFonts w:ascii="Yu Gothic" w:hAnsi="Yu Gothic" w:eastAsia="Yu Gothic"/>
                <w:b w:val="0"/>
                <w:color w:val="222222"/>
                <w:sz w:val="19"/>
              </w:rPr>
              <w:t>貸借対照表に関する注記</w:t>
            </w:r>
          </w:p>
        </w:tc>
        <w:tc>
          <w:tcPr>
            <w:tcW w:type="dxa" w:w="3000"/>
          </w:tcPr>
          <w:p>
            <w:pPr>
              <w:spacing w:before="0" w:after="40" w:line="276" w:lineRule="auto"/>
            </w:pPr>
            <w:r>
              <w:rPr>
                <w:rFonts w:ascii="Yu Gothic" w:hAnsi="Yu Gothic" w:eastAsia="Yu Gothic"/>
                <w:b w:val="0"/>
                <w:color w:val="222222"/>
                <w:sz w:val="19"/>
              </w:rPr>
              <w:t>有形固定資産の減価償却累計額などを補足する場合</w:t>
            </w:r>
          </w:p>
        </w:tc>
        <w:tc>
          <w:tcPr>
            <w:tcW w:type="dxa" w:w="2560"/>
          </w:tcPr>
          <w:p>
            <w:pPr>
              <w:spacing w:before="0" w:after="40" w:line="276" w:lineRule="auto"/>
            </w:pPr>
            <w:r>
              <w:rPr>
                <w:rFonts w:ascii="Yu Gothic" w:hAnsi="Yu Gothic" w:eastAsia="Yu Gothic"/>
                <w:b w:val="0"/>
                <w:color w:val="222222"/>
                <w:sz w:val="19"/>
              </w:rPr>
              <w:t>重要性がなく、注記不要と判断した場合</w:t>
            </w:r>
          </w:p>
        </w:tc>
      </w:tr>
      <w:tr>
        <w:tc>
          <w:tcPr>
            <w:tcW w:type="dxa" w:w="1500"/>
          </w:tcPr>
          <w:p>
            <w:pPr>
              <w:spacing w:before="0" w:after="40" w:line="276" w:lineRule="auto"/>
            </w:pPr>
            <w:r>
              <w:rPr>
                <w:rFonts w:ascii="Yu Gothic" w:hAnsi="Yu Gothic" w:eastAsia="Yu Gothic"/>
                <w:b w:val="0"/>
                <w:color w:val="222222"/>
                <w:sz w:val="19"/>
              </w:rPr>
              <w:t>該当時に残す</w:t>
            </w:r>
          </w:p>
        </w:tc>
        <w:tc>
          <w:tcPr>
            <w:tcW w:type="dxa" w:w="2300"/>
          </w:tcPr>
          <w:p>
            <w:pPr>
              <w:spacing w:before="0" w:after="40" w:line="276" w:lineRule="auto"/>
            </w:pPr>
            <w:r>
              <w:rPr>
                <w:rFonts w:ascii="Yu Gothic" w:hAnsi="Yu Gothic" w:eastAsia="Yu Gothic"/>
                <w:b w:val="0"/>
                <w:color w:val="222222"/>
                <w:sz w:val="19"/>
              </w:rPr>
              <w:t>リース取引</w:t>
            </w:r>
          </w:p>
        </w:tc>
        <w:tc>
          <w:tcPr>
            <w:tcW w:type="dxa" w:w="3000"/>
          </w:tcPr>
          <w:p>
            <w:pPr>
              <w:spacing w:before="0" w:after="40" w:line="276" w:lineRule="auto"/>
            </w:pPr>
            <w:r>
              <w:rPr>
                <w:rFonts w:ascii="Yu Gothic" w:hAnsi="Yu Gothic" w:eastAsia="Yu Gothic"/>
                <w:b w:val="0"/>
                <w:color w:val="222222"/>
                <w:sz w:val="19"/>
              </w:rPr>
              <w:t>所有権移転外ファイナンス・リースを賃貸借処理している場合</w:t>
            </w:r>
          </w:p>
        </w:tc>
        <w:tc>
          <w:tcPr>
            <w:tcW w:type="dxa" w:w="2560"/>
          </w:tcPr>
          <w:p>
            <w:pPr>
              <w:spacing w:before="0" w:after="40" w:line="276" w:lineRule="auto"/>
            </w:pPr>
            <w:r>
              <w:rPr>
                <w:rFonts w:ascii="Yu Gothic" w:hAnsi="Yu Gothic" w:eastAsia="Yu Gothic"/>
                <w:b w:val="0"/>
                <w:color w:val="222222"/>
                <w:sz w:val="19"/>
              </w:rPr>
              <w:t>対象リースがない、又は重要性がない場合</w:t>
            </w:r>
          </w:p>
        </w:tc>
      </w:tr>
      <w:tr>
        <w:tc>
          <w:tcPr>
            <w:tcW w:type="dxa" w:w="1500"/>
          </w:tcPr>
          <w:p>
            <w:pPr>
              <w:spacing w:before="0" w:after="40" w:line="276" w:lineRule="auto"/>
            </w:pPr>
            <w:r>
              <w:rPr>
                <w:rFonts w:ascii="Yu Gothic" w:hAnsi="Yu Gothic" w:eastAsia="Yu Gothic"/>
                <w:b w:val="0"/>
                <w:color w:val="222222"/>
                <w:sz w:val="19"/>
              </w:rPr>
              <w:t>該当時に残す</w:t>
            </w:r>
          </w:p>
        </w:tc>
        <w:tc>
          <w:tcPr>
            <w:tcW w:type="dxa" w:w="2300"/>
          </w:tcPr>
          <w:p>
            <w:pPr>
              <w:spacing w:before="0" w:after="40" w:line="276" w:lineRule="auto"/>
            </w:pPr>
            <w:r>
              <w:rPr>
                <w:rFonts w:ascii="Yu Gothic" w:hAnsi="Yu Gothic" w:eastAsia="Yu Gothic"/>
                <w:b w:val="0"/>
                <w:color w:val="222222"/>
                <w:sz w:val="19"/>
              </w:rPr>
              <w:t>役員と会社間の取引</w:t>
            </w:r>
          </w:p>
        </w:tc>
        <w:tc>
          <w:tcPr>
            <w:tcW w:type="dxa" w:w="3000"/>
          </w:tcPr>
          <w:p>
            <w:pPr>
              <w:spacing w:before="0" w:after="40" w:line="276" w:lineRule="auto"/>
            </w:pPr>
            <w:r>
              <w:rPr>
                <w:rFonts w:ascii="Yu Gothic" w:hAnsi="Yu Gothic" w:eastAsia="Yu Gothic"/>
                <w:b w:val="0"/>
                <w:color w:val="222222"/>
                <w:sz w:val="19"/>
              </w:rPr>
              <w:t>役員借入金、役員貸付金、役員所有不動産の賃借などがある場合</w:t>
            </w:r>
          </w:p>
        </w:tc>
        <w:tc>
          <w:tcPr>
            <w:tcW w:type="dxa" w:w="2560"/>
          </w:tcPr>
          <w:p>
            <w:pPr>
              <w:spacing w:before="0" w:after="40" w:line="276" w:lineRule="auto"/>
            </w:pPr>
            <w:r>
              <w:rPr>
                <w:rFonts w:ascii="Yu Gothic" w:hAnsi="Yu Gothic" w:eastAsia="Yu Gothic"/>
                <w:b w:val="0"/>
                <w:color w:val="222222"/>
                <w:sz w:val="19"/>
              </w:rPr>
              <w:t>通常取引以外の重要な取引がない場合</w:t>
            </w:r>
          </w:p>
        </w:tc>
      </w:tr>
      <w:tr>
        <w:tc>
          <w:tcPr>
            <w:tcW w:type="dxa" w:w="1500"/>
          </w:tcPr>
          <w:p>
            <w:pPr>
              <w:spacing w:before="0" w:after="40" w:line="276" w:lineRule="auto"/>
            </w:pPr>
            <w:r>
              <w:rPr>
                <w:rFonts w:ascii="Yu Gothic" w:hAnsi="Yu Gothic" w:eastAsia="Yu Gothic"/>
                <w:b w:val="0"/>
                <w:color w:val="222222"/>
                <w:sz w:val="19"/>
              </w:rPr>
              <w:t>該当時に残す</w:t>
            </w:r>
          </w:p>
        </w:tc>
        <w:tc>
          <w:tcPr>
            <w:tcW w:type="dxa" w:w="2300"/>
          </w:tcPr>
          <w:p>
            <w:pPr>
              <w:spacing w:before="0" w:after="40" w:line="276" w:lineRule="auto"/>
            </w:pPr>
            <w:r>
              <w:rPr>
                <w:rFonts w:ascii="Yu Gothic" w:hAnsi="Yu Gothic" w:eastAsia="Yu Gothic"/>
                <w:b w:val="0"/>
                <w:color w:val="222222"/>
                <w:sz w:val="19"/>
              </w:rPr>
              <w:t>重要な後発事象</w:t>
            </w:r>
          </w:p>
        </w:tc>
        <w:tc>
          <w:tcPr>
            <w:tcW w:type="dxa" w:w="3000"/>
          </w:tcPr>
          <w:p>
            <w:pPr>
              <w:spacing w:before="0" w:after="40" w:line="276" w:lineRule="auto"/>
            </w:pPr>
            <w:r>
              <w:rPr>
                <w:rFonts w:ascii="Yu Gothic" w:hAnsi="Yu Gothic" w:eastAsia="Yu Gothic"/>
                <w:b w:val="0"/>
                <w:color w:val="222222"/>
                <w:sz w:val="19"/>
              </w:rPr>
              <w:t>期末後に重要な借入、増資、災害、事業譲渡などがある場合</w:t>
            </w:r>
          </w:p>
        </w:tc>
        <w:tc>
          <w:tcPr>
            <w:tcW w:type="dxa" w:w="2560"/>
          </w:tcPr>
          <w:p>
            <w:pPr>
              <w:spacing w:before="0" w:after="40" w:line="276" w:lineRule="auto"/>
            </w:pPr>
            <w:r>
              <w:rPr>
                <w:rFonts w:ascii="Yu Gothic" w:hAnsi="Yu Gothic" w:eastAsia="Yu Gothic"/>
                <w:b w:val="0"/>
                <w:color w:val="222222"/>
                <w:sz w:val="19"/>
              </w:rPr>
              <w:t>該当なしの場合</w:t>
            </w:r>
          </w:p>
        </w:tc>
      </w:tr>
      <w:tr>
        <w:tc>
          <w:tcPr>
            <w:tcW w:type="dxa" w:w="1500"/>
          </w:tcPr>
          <w:p>
            <w:pPr>
              <w:spacing w:before="0" w:after="40" w:line="276" w:lineRule="auto"/>
            </w:pPr>
            <w:r>
              <w:rPr>
                <w:rFonts w:ascii="Yu Gothic" w:hAnsi="Yu Gothic" w:eastAsia="Yu Gothic"/>
                <w:b w:val="0"/>
                <w:color w:val="222222"/>
                <w:sz w:val="19"/>
              </w:rPr>
              <w:t>原則省略</w:t>
            </w:r>
          </w:p>
        </w:tc>
        <w:tc>
          <w:tcPr>
            <w:tcW w:type="dxa" w:w="2300"/>
          </w:tcPr>
          <w:p>
            <w:pPr>
              <w:spacing w:before="0" w:after="40" w:line="276" w:lineRule="auto"/>
            </w:pPr>
            <w:r>
              <w:rPr>
                <w:rFonts w:ascii="Yu Gothic" w:hAnsi="Yu Gothic" w:eastAsia="Yu Gothic"/>
                <w:b w:val="0"/>
                <w:color w:val="222222"/>
                <w:sz w:val="19"/>
              </w:rPr>
              <w:t>金融商品、賃貸等不動産、税効果、一株当たり情報など</w:t>
            </w:r>
          </w:p>
        </w:tc>
        <w:tc>
          <w:tcPr>
            <w:tcW w:type="dxa" w:w="3000"/>
          </w:tcPr>
          <w:p>
            <w:pPr>
              <w:spacing w:before="0" w:after="40" w:line="276" w:lineRule="auto"/>
            </w:pPr>
            <w:r>
              <w:rPr>
                <w:rFonts w:ascii="Yu Gothic" w:hAnsi="Yu Gothic" w:eastAsia="Yu Gothic"/>
                <w:b w:val="0"/>
                <w:color w:val="222222"/>
                <w:sz w:val="19"/>
              </w:rPr>
              <w:t>公開会社や会社区分により必要な場合</w:t>
            </w:r>
          </w:p>
        </w:tc>
        <w:tc>
          <w:tcPr>
            <w:tcW w:type="dxa" w:w="2560"/>
          </w:tcPr>
          <w:p>
            <w:pPr>
              <w:spacing w:before="0" w:after="40" w:line="276" w:lineRule="auto"/>
            </w:pPr>
            <w:r>
              <w:rPr>
                <w:rFonts w:ascii="Yu Gothic" w:hAnsi="Yu Gothic" w:eastAsia="Yu Gothic"/>
                <w:b w:val="0"/>
                <w:color w:val="222222"/>
                <w:sz w:val="19"/>
              </w:rPr>
              <w:t>通常の非公開中小企業では省略することが多い</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FFF2CC"/>
          </w:tcPr>
          <w:p>
            <w:pPr>
              <w:spacing w:after="40"/>
            </w:pPr>
            <w:r>
              <w:rPr>
                <w:rFonts w:ascii="Yu Gothic" w:hAnsi="Yu Gothic" w:eastAsia="Yu Gothic"/>
                <w:b/>
                <w:color w:val="7A5A00"/>
                <w:sz w:val="21"/>
              </w:rPr>
              <w:t xml:space="preserve">完成時の扱い </w:t>
            </w:r>
            <w:r>
              <w:rPr>
                <w:rFonts w:ascii="Yu Gothic" w:hAnsi="Yu Gothic" w:eastAsia="Yu Gothic"/>
                <w:color w:val="222222"/>
                <w:sz w:val="21"/>
              </w:rPr>
              <w:t>この削除判断ガイドと末尾の参考文例は、社内作業用です。提出用として整える場合は、必要に応じてガイド部分を削除し、「提出用ひな形」だけを残してください。</w:t>
            </w:r>
          </w:p>
        </w:tc>
      </w:tr>
    </w:tbl>
    <w:p>
      <w:r>
        <w:br w:type="page"/>
      </w:r>
    </w:p>
    <w:p>
      <w:pPr>
        <w:pStyle w:val="Heading1"/>
        <w:keepNext/>
        <w:spacing w:before="360" w:after="200"/>
      </w:pPr>
      <w:r>
        <w:rPr>
          <w:rFonts w:ascii="Yu Gothic" w:hAnsi="Yu Gothic" w:eastAsia="Yu Gothic"/>
          <w:b/>
          <w:color w:val="2E74B5"/>
          <w:sz w:val="32"/>
        </w:rPr>
        <w:t>提出用ひな形</w:t>
      </w:r>
    </w:p>
    <w:p>
      <w:pPr>
        <w:spacing w:before="0" w:after="160" w:line="300" w:lineRule="auto"/>
        <w:jc w:val="center"/>
      </w:pPr>
      <w:r>
        <w:rPr>
          <w:rFonts w:ascii="Yu Gothic" w:hAnsi="Yu Gothic" w:eastAsia="Yu Gothic"/>
          <w:b/>
          <w:i w:val="0"/>
          <w:color w:val="222222"/>
          <w:sz w:val="32"/>
        </w:rPr>
        <w:t>個別注記表</w:t>
      </w:r>
    </w:p>
    <w:p>
      <w:pPr>
        <w:spacing w:before="0" w:after="40" w:line="300" w:lineRule="auto"/>
        <w:jc w:val="center"/>
      </w:pPr>
      <w:r>
        <w:rPr>
          <w:rFonts w:ascii="Yu Gothic" w:hAnsi="Yu Gothic" w:eastAsia="Yu Gothic"/>
          <w:b/>
          <w:i w:val="0"/>
          <w:color w:val="222222"/>
          <w:sz w:val="23"/>
        </w:rPr>
        <w:t>［会社名］</w:t>
      </w:r>
    </w:p>
    <w:p>
      <w:pPr>
        <w:spacing w:before="0" w:after="240" w:line="300" w:lineRule="auto"/>
        <w:jc w:val="center"/>
      </w:pPr>
      <w:r>
        <w:rPr>
          <w:rFonts w:ascii="Yu Gothic" w:hAnsi="Yu Gothic" w:eastAsia="Yu Gothic"/>
          <w:b w:val="0"/>
          <w:i w:val="0"/>
          <w:color w:val="222222"/>
          <w:sz w:val="21"/>
        </w:rPr>
        <w:t>自　令和［　］年［　］月［　］日　至　令和［　］年［　］月［　］日</w:t>
      </w:r>
    </w:p>
    <w:p>
      <w:pPr>
        <w:pStyle w:val="Heading2"/>
        <w:keepNext/>
        <w:spacing w:before="280" w:after="140"/>
      </w:pPr>
      <w:r>
        <w:rPr>
          <w:rFonts w:ascii="Yu Gothic" w:hAnsi="Yu Gothic" w:eastAsia="Yu Gothic"/>
          <w:b/>
          <w:color w:val="2E74B5"/>
          <w:sz w:val="26"/>
        </w:rPr>
        <w:t>1. 計算書類の作成基準</w:t>
      </w:r>
    </w:p>
    <w:p>
      <w:pPr>
        <w:spacing w:before="0" w:after="80" w:line="300" w:lineRule="auto"/>
      </w:pPr>
      <w:r>
        <w:rPr>
          <w:rFonts w:ascii="Yu Gothic" w:hAnsi="Yu Gothic" w:eastAsia="Yu Gothic"/>
          <w:b w:val="0"/>
          <w:i/>
          <w:color w:val="595959"/>
          <w:sz w:val="19"/>
        </w:rPr>
        <w:t>中小企業の会計に関する要領で作成する場合などは、この一文を実態に合わせて差し替えてください。</w:t>
      </w:r>
    </w:p>
    <w:p>
      <w:pPr>
        <w:spacing w:before="0" w:after="80" w:line="300" w:lineRule="auto"/>
      </w:pPr>
      <w:r>
        <w:rPr>
          <w:rFonts w:ascii="Yu Gothic" w:hAnsi="Yu Gothic" w:eastAsia="Yu Gothic"/>
          <w:b w:val="0"/>
          <w:i w:val="0"/>
          <w:color w:val="222222"/>
          <w:sz w:val="21"/>
        </w:rPr>
        <w:t>この計算書類は、中小企業の会計に関する指針によって作成しています。</w:t>
      </w:r>
    </w:p>
    <w:p>
      <w:pPr>
        <w:pStyle w:val="Heading2"/>
        <w:keepNext/>
        <w:spacing w:before="280" w:after="140"/>
      </w:pPr>
      <w:r>
        <w:rPr>
          <w:rFonts w:ascii="Yu Gothic" w:hAnsi="Yu Gothic" w:eastAsia="Yu Gothic"/>
          <w:b/>
          <w:color w:val="2E74B5"/>
          <w:sz w:val="26"/>
        </w:rPr>
        <w:t>2. 重要な会計方針</w:t>
      </w:r>
    </w:p>
    <w:p>
      <w:pPr>
        <w:spacing w:before="0" w:after="80" w:line="300" w:lineRule="auto"/>
      </w:pPr>
      <w:r>
        <w:rPr>
          <w:rFonts w:ascii="Yu Gothic" w:hAnsi="Yu Gothic" w:eastAsia="Yu Gothic"/>
          <w:b/>
          <w:color w:val="222222"/>
          <w:sz w:val="21"/>
        </w:rPr>
        <w:t>(1) 資産の評価基準及び評価方法</w:t>
        <w:br/>
      </w:r>
      <w:r>
        <w:rPr>
          <w:rFonts w:ascii="Yu Gothic" w:hAnsi="Yu Gothic" w:eastAsia="Yu Gothic"/>
          <w:color w:val="222222"/>
          <w:sz w:val="21"/>
        </w:rPr>
        <w:t>棚卸資産は、主として［最終仕入原価法／総平均法／移動平均法］による原価法により評価しています。なお、貸借対照表価額は、収益性の低下に基づく簿価切下げの方法により算定しています。</w:t>
        <w:br/>
        <w:t>［有価証券を保有する場合］有価証券は、［移動平均法による原価法／期末日の時価法］により評価しています。</w:t>
      </w:r>
    </w:p>
    <w:p>
      <w:pPr>
        <w:spacing w:before="0" w:after="80" w:line="300" w:lineRule="auto"/>
      </w:pPr>
      <w:r>
        <w:rPr>
          <w:rFonts w:ascii="Yu Gothic" w:hAnsi="Yu Gothic" w:eastAsia="Yu Gothic"/>
          <w:b/>
          <w:color w:val="222222"/>
          <w:sz w:val="21"/>
        </w:rPr>
        <w:t>(2) 固定資産の減価償却方法</w:t>
        <w:br/>
      </w:r>
      <w:r>
        <w:rPr>
          <w:rFonts w:ascii="Yu Gothic" w:hAnsi="Yu Gothic" w:eastAsia="Yu Gothic"/>
          <w:color w:val="222222"/>
          <w:sz w:val="21"/>
        </w:rPr>
        <w:t>有形固定資産は、主として定率法によっています。ただし、建物、建物附属設備及び構築物については定額法によっています。</w:t>
        <w:br/>
        <w:t>無形固定資産は、定額法によっています。自社利用のソフトウェアについては、社内における利用可能期間（［　］年）に基づく定額法によっています。</w:t>
      </w:r>
    </w:p>
    <w:p>
      <w:pPr>
        <w:spacing w:before="0" w:after="80" w:line="300" w:lineRule="auto"/>
      </w:pPr>
      <w:r>
        <w:rPr>
          <w:rFonts w:ascii="Yu Gothic" w:hAnsi="Yu Gothic" w:eastAsia="Yu Gothic"/>
          <w:b/>
          <w:color w:val="222222"/>
          <w:sz w:val="21"/>
        </w:rPr>
        <w:t>(3) 引当金の計上基準</w:t>
        <w:br/>
      </w:r>
      <w:r>
        <w:rPr>
          <w:rFonts w:ascii="Yu Gothic" w:hAnsi="Yu Gothic" w:eastAsia="Yu Gothic"/>
          <w:color w:val="222222"/>
          <w:sz w:val="21"/>
        </w:rPr>
        <w:t>貸倒引当金は、債権の貸倒れによる損失に備えるため、一般債権については法人税法の規定による法定繰入率により計上し、貸倒懸念債権等については個別に回収可能性を勘案して計上しています。</w:t>
        <w:br/>
        <w:t>［賞与引当金を計上する場合］賞与引当金は、従業員に対する賞与の支給に備えるため、支給見込額の当期負担分を計上しています。</w:t>
        <w:br/>
        <w:t>［退職給付引当金を計上する場合］退職給付引当金は、従業員の退職給付に備えるため、退職金規程に基づく期末要支給額により計上しています。</w:t>
      </w:r>
    </w:p>
    <w:p>
      <w:pPr>
        <w:spacing w:before="0" w:after="80" w:line="300" w:lineRule="auto"/>
      </w:pPr>
      <w:r>
        <w:rPr>
          <w:rFonts w:ascii="Yu Gothic" w:hAnsi="Yu Gothic" w:eastAsia="Yu Gothic"/>
          <w:b/>
          <w:color w:val="222222"/>
          <w:sz w:val="21"/>
        </w:rPr>
        <w:t>(4) 収益及び費用の計上基準</w:t>
        <w:br/>
      </w:r>
      <w:r>
        <w:rPr>
          <w:rFonts w:ascii="Yu Gothic" w:hAnsi="Yu Gothic" w:eastAsia="Yu Gothic"/>
          <w:color w:val="222222"/>
          <w:sz w:val="21"/>
        </w:rPr>
        <w:t>当社は、主に［事業内容］を行っており、［出荷時点／納品時点／検収時点／役務提供完了時点／期間の経過］で売上を計上しています。複数の主要事業がある場合は、事業ごとに計上基準を記載しています。</w:t>
      </w:r>
    </w:p>
    <w:p>
      <w:pPr>
        <w:spacing w:before="0" w:after="80" w:line="300" w:lineRule="auto"/>
      </w:pPr>
      <w:r>
        <w:rPr>
          <w:rFonts w:ascii="Yu Gothic" w:hAnsi="Yu Gothic" w:eastAsia="Yu Gothic"/>
          <w:b/>
          <w:color w:val="222222"/>
          <w:sz w:val="21"/>
        </w:rPr>
        <w:t>(5) その他計算書類の作成のための基本となる重要な事項</w:t>
        <w:br/>
      </w:r>
      <w:r>
        <w:rPr>
          <w:rFonts w:ascii="Yu Gothic" w:hAnsi="Yu Gothic" w:eastAsia="Yu Gothic"/>
          <w:color w:val="222222"/>
          <w:sz w:val="21"/>
        </w:rPr>
        <w:t>［リース取引がある場合］所有権移転外ファイナンス・リース取引については、通常の賃貸借取引に係る方法に準じた会計処理によっています。なお、未経過リース料総額は［　　　　］千円であります。</w:t>
        <w:br/>
        <w:t>消費税等の会計処理は、［税抜方式／税込方式］によっています。</w:t>
      </w:r>
    </w:p>
    <w:p>
      <w:pPr>
        <w:pStyle w:val="Heading2"/>
        <w:keepNext/>
        <w:spacing w:before="280" w:after="140"/>
      </w:pPr>
      <w:r>
        <w:rPr>
          <w:rFonts w:ascii="Yu Gothic" w:hAnsi="Yu Gothic" w:eastAsia="Yu Gothic"/>
          <w:b/>
          <w:color w:val="2E74B5"/>
          <w:sz w:val="26"/>
        </w:rPr>
        <w:t>3. 会計方針の変更に関する注記</w:t>
      </w:r>
    </w:p>
    <w:p>
      <w:pPr>
        <w:spacing w:before="0" w:after="80" w:line="300" w:lineRule="auto"/>
      </w:pPr>
      <w:r>
        <w:rPr>
          <w:rFonts w:ascii="Yu Gothic" w:hAnsi="Yu Gothic" w:eastAsia="Yu Gothic"/>
          <w:b w:val="0"/>
          <w:i w:val="0"/>
          <w:color w:val="222222"/>
          <w:sz w:val="21"/>
        </w:rPr>
        <w:t>［該当がない場合はこの項目を削除］</w:t>
      </w:r>
    </w:p>
    <w:p>
      <w:pPr>
        <w:spacing w:before="0" w:after="80" w:line="300" w:lineRule="auto"/>
      </w:pPr>
      <w:r>
        <w:rPr>
          <w:rFonts w:ascii="Yu Gothic" w:hAnsi="Yu Gothic" w:eastAsia="Yu Gothic"/>
          <w:b w:val="0"/>
          <w:i w:val="0"/>
          <w:color w:val="222222"/>
          <w:sz w:val="21"/>
        </w:rPr>
        <w:t>当事業年度より、［変更した会計方針］について、［変更前の方法］から［変更後の方法］へ変更しています。この変更は［変更理由］によるものです。この変更による計算書類への影響額は［　　　　］千円であります。</w:t>
      </w:r>
    </w:p>
    <w:p>
      <w:pPr>
        <w:pStyle w:val="Heading2"/>
        <w:keepNext/>
        <w:spacing w:before="280" w:after="140"/>
      </w:pPr>
      <w:r>
        <w:rPr>
          <w:rFonts w:ascii="Yu Gothic" w:hAnsi="Yu Gothic" w:eastAsia="Yu Gothic"/>
          <w:b/>
          <w:color w:val="2E74B5"/>
          <w:sz w:val="26"/>
        </w:rPr>
        <w:t>4. 表示方法の変更に関する注記</w:t>
      </w:r>
    </w:p>
    <w:p>
      <w:pPr>
        <w:spacing w:before="0" w:after="80" w:line="300" w:lineRule="auto"/>
      </w:pPr>
      <w:r>
        <w:rPr>
          <w:rFonts w:ascii="Yu Gothic" w:hAnsi="Yu Gothic" w:eastAsia="Yu Gothic"/>
          <w:b w:val="0"/>
          <w:i w:val="0"/>
          <w:color w:val="222222"/>
          <w:sz w:val="21"/>
        </w:rPr>
        <w:t>［該当がない場合はこの項目を削除］</w:t>
      </w:r>
    </w:p>
    <w:p>
      <w:pPr>
        <w:spacing w:before="0" w:after="80" w:line="300" w:lineRule="auto"/>
      </w:pPr>
      <w:r>
        <w:rPr>
          <w:rFonts w:ascii="Yu Gothic" w:hAnsi="Yu Gothic" w:eastAsia="Yu Gothic"/>
          <w:b w:val="0"/>
          <w:i w:val="0"/>
          <w:color w:val="222222"/>
          <w:sz w:val="21"/>
        </w:rPr>
        <w:t>当事業年度より、［変更した表示方法］について、［変更前の表示］から［変更後の表示］へ変更しています。この変更は［変更理由］によるものです。</w:t>
      </w:r>
    </w:p>
    <w:p>
      <w:pPr>
        <w:pStyle w:val="Heading2"/>
        <w:keepNext/>
        <w:spacing w:before="280" w:after="140"/>
      </w:pPr>
      <w:r>
        <w:rPr>
          <w:rFonts w:ascii="Yu Gothic" w:hAnsi="Yu Gothic" w:eastAsia="Yu Gothic"/>
          <w:b/>
          <w:color w:val="2E74B5"/>
          <w:sz w:val="26"/>
        </w:rPr>
        <w:t>5. 貸借対照表に関する注記</w:t>
      </w:r>
    </w:p>
    <w:p>
      <w:pPr>
        <w:spacing w:before="0" w:after="80" w:line="300" w:lineRule="auto"/>
      </w:pPr>
      <w:r>
        <w:rPr>
          <w:rFonts w:ascii="Yu Gothic" w:hAnsi="Yu Gothic" w:eastAsia="Yu Gothic"/>
          <w:b w:val="0"/>
          <w:i w:val="0"/>
          <w:color w:val="222222"/>
          <w:sz w:val="21"/>
        </w:rPr>
        <w:t>［必要な場合だけ残す］</w:t>
      </w:r>
    </w:p>
    <w:p>
      <w:pPr>
        <w:spacing w:before="0" w:after="80" w:line="300" w:lineRule="auto"/>
      </w:pPr>
      <w:r>
        <w:rPr>
          <w:rFonts w:ascii="Yu Gothic" w:hAnsi="Yu Gothic" w:eastAsia="Yu Gothic"/>
          <w:b w:val="0"/>
          <w:i w:val="0"/>
          <w:color w:val="222222"/>
          <w:sz w:val="21"/>
        </w:rPr>
        <w:t>有形固定資産の減価償却累計額　［　　　　］千円</w:t>
      </w:r>
    </w:p>
    <w:p>
      <w:pPr>
        <w:spacing w:before="0" w:after="80" w:line="300" w:lineRule="auto"/>
      </w:pPr>
      <w:r>
        <w:rPr>
          <w:rFonts w:ascii="Yu Gothic" w:hAnsi="Yu Gothic" w:eastAsia="Yu Gothic"/>
          <w:b w:val="0"/>
          <w:i w:val="0"/>
          <w:color w:val="222222"/>
          <w:sz w:val="21"/>
        </w:rPr>
        <w:t>［担保提供資産がある場合］担保に供している資産及び対応する債務は次のとおりです。</w:t>
        <w:br/>
        <w:t>担保提供資産：［資産名］［　　　　］千円</w:t>
        <w:br/>
        <w:t>対応債務：［債務名］［　　　　］千円</w:t>
      </w:r>
    </w:p>
    <w:p>
      <w:pPr>
        <w:pStyle w:val="Heading2"/>
        <w:keepNext/>
        <w:spacing w:before="280" w:after="140"/>
      </w:pPr>
      <w:r>
        <w:rPr>
          <w:rFonts w:ascii="Yu Gothic" w:hAnsi="Yu Gothic" w:eastAsia="Yu Gothic"/>
          <w:b/>
          <w:color w:val="2E74B5"/>
          <w:sz w:val="26"/>
        </w:rPr>
        <w:t>6. 株主資本等変動計算書に関する注記</w:t>
      </w:r>
    </w:p>
    <w:p>
      <w:pPr>
        <w:spacing w:before="0" w:after="80" w:line="300" w:lineRule="auto"/>
      </w:pPr>
      <w:r>
        <w:rPr>
          <w:rFonts w:ascii="Yu Gothic" w:hAnsi="Yu Gothic" w:eastAsia="Yu Gothic"/>
          <w:b/>
          <w:color w:val="222222"/>
          <w:sz w:val="21"/>
        </w:rPr>
        <w:t>(1) 発行済株式の種類及び総数</w:t>
        <w:br/>
      </w:r>
      <w:r>
        <w:rPr>
          <w:rFonts w:ascii="Yu Gothic" w:hAnsi="Yu Gothic" w:eastAsia="Yu Gothic"/>
          <w:color w:val="222222"/>
          <w:sz w:val="21"/>
        </w:rPr>
        <w:t>普通株式　当事業年度末株式数　［　　　　］株</w:t>
      </w:r>
    </w:p>
    <w:p>
      <w:pPr>
        <w:spacing w:before="0" w:after="80" w:line="300" w:lineRule="auto"/>
      </w:pPr>
      <w:r>
        <w:rPr>
          <w:rFonts w:ascii="Yu Gothic" w:hAnsi="Yu Gothic" w:eastAsia="Yu Gothic"/>
          <w:b/>
          <w:color w:val="222222"/>
          <w:sz w:val="21"/>
        </w:rPr>
        <w:t>(2) 自己株式の種類及び株式数</w:t>
        <w:br/>
      </w:r>
      <w:r>
        <w:rPr>
          <w:rFonts w:ascii="Yu Gothic" w:hAnsi="Yu Gothic" w:eastAsia="Yu Gothic"/>
          <w:color w:val="222222"/>
          <w:sz w:val="21"/>
        </w:rPr>
        <w:t>［該当がない場合］該当事項はありません。</w:t>
        <w:br/>
        <w:t>［該当がある場合］普通株式　当事業年度末自己株式数　［　　　　］株</w:t>
      </w:r>
    </w:p>
    <w:p>
      <w:pPr>
        <w:spacing w:before="0" w:after="80" w:line="300" w:lineRule="auto"/>
      </w:pPr>
      <w:r>
        <w:rPr>
          <w:rFonts w:ascii="Yu Gothic" w:hAnsi="Yu Gothic" w:eastAsia="Yu Gothic"/>
          <w:b/>
          <w:color w:val="222222"/>
          <w:sz w:val="21"/>
        </w:rPr>
        <w:t>(3) 剰余金の配当に関する事項</w:t>
        <w:br/>
      </w:r>
      <w:r>
        <w:rPr>
          <w:rFonts w:ascii="Yu Gothic" w:hAnsi="Yu Gothic" w:eastAsia="Yu Gothic"/>
          <w:color w:val="222222"/>
          <w:sz w:val="21"/>
        </w:rPr>
        <w:t>［配当がない場合］該当事項はありません。</w:t>
        <w:br/>
        <w:t>［配当がある場合］令和［　］年［　］月［　］日開催の［株主総会／取締役会］において、普通株式の配当に関する事項を決議しています。</w:t>
        <w:br/>
        <w:t>配当金の総額　［　　　　］千円</w:t>
        <w:br/>
        <w:t>1株当たり配当額　［　　　　］円</w:t>
        <w:br/>
        <w:t>基準日　令和［　］年［　］月［　］日</w:t>
        <w:br/>
        <w:t>効力発生日　令和［　］年［　］月［　］日</w:t>
      </w:r>
    </w:p>
    <w:p>
      <w:pPr>
        <w:pStyle w:val="Heading2"/>
        <w:keepNext/>
        <w:spacing w:before="280" w:after="140"/>
      </w:pPr>
      <w:r>
        <w:rPr>
          <w:rFonts w:ascii="Yu Gothic" w:hAnsi="Yu Gothic" w:eastAsia="Yu Gothic"/>
          <w:b/>
          <w:color w:val="2E74B5"/>
          <w:sz w:val="26"/>
        </w:rPr>
        <w:t>7. 役員と会社間の取引に関する注記</w:t>
      </w:r>
    </w:p>
    <w:p>
      <w:pPr>
        <w:spacing w:before="0" w:after="80" w:line="300" w:lineRule="auto"/>
      </w:pPr>
      <w:r>
        <w:rPr>
          <w:rFonts w:ascii="Yu Gothic" w:hAnsi="Yu Gothic" w:eastAsia="Yu Gothic"/>
          <w:b w:val="0"/>
          <w:i w:val="0"/>
          <w:color w:val="222222"/>
          <w:sz w:val="21"/>
        </w:rPr>
        <w:t>［該当がない場合はこの項目を削除］</w:t>
      </w:r>
    </w:p>
    <w:p>
      <w:pPr>
        <w:spacing w:before="0" w:after="80" w:line="300" w:lineRule="auto"/>
      </w:pPr>
      <w:r>
        <w:rPr>
          <w:rFonts w:ascii="Yu Gothic" w:hAnsi="Yu Gothic" w:eastAsia="Yu Gothic"/>
          <w:b w:val="0"/>
          <w:i w:val="0"/>
          <w:color w:val="222222"/>
          <w:sz w:val="21"/>
        </w:rPr>
        <w:t>役員との重要な取引は次のとおりです。</w:t>
        <w:br/>
        <w:t>取引内容：［役員借入金／役員貸付金／不動産賃借／その他］</w:t>
        <w:br/>
        <w:t>取引金額：［　　　　］千円</w:t>
        <w:br/>
        <w:t>期末残高：［　　　　］千円</w:t>
        <w:br/>
        <w:t>取引条件：［一般取引条件と同様／条件の概要を記載］</w:t>
      </w:r>
    </w:p>
    <w:p>
      <w:pPr>
        <w:pStyle w:val="Heading2"/>
        <w:keepNext/>
        <w:spacing w:before="280" w:after="140"/>
      </w:pPr>
      <w:r>
        <w:rPr>
          <w:rFonts w:ascii="Yu Gothic" w:hAnsi="Yu Gothic" w:eastAsia="Yu Gothic"/>
          <w:b/>
          <w:color w:val="2E74B5"/>
          <w:sz w:val="26"/>
        </w:rPr>
        <w:t>8. 重要な後発事象に関する注記</w:t>
      </w:r>
    </w:p>
    <w:p>
      <w:pPr>
        <w:spacing w:before="0" w:after="80" w:line="300" w:lineRule="auto"/>
      </w:pPr>
      <w:r>
        <w:rPr>
          <w:rFonts w:ascii="Yu Gothic" w:hAnsi="Yu Gothic" w:eastAsia="Yu Gothic"/>
          <w:b w:val="0"/>
          <w:i w:val="0"/>
          <w:color w:val="222222"/>
          <w:sz w:val="21"/>
        </w:rPr>
        <w:t>［該当がない場合はこの項目を削除］</w:t>
      </w:r>
    </w:p>
    <w:p>
      <w:pPr>
        <w:spacing w:before="0" w:after="80" w:line="300" w:lineRule="auto"/>
      </w:pPr>
      <w:r>
        <w:rPr>
          <w:rFonts w:ascii="Yu Gothic" w:hAnsi="Yu Gothic" w:eastAsia="Yu Gothic"/>
          <w:b w:val="0"/>
          <w:i w:val="0"/>
          <w:color w:val="222222"/>
          <w:sz w:val="21"/>
        </w:rPr>
        <w:t>令和［　］年［　］月［　］日開催の［取締役会／株主総会］において、［事象の内容］を決議しました。これによる影響額は［　　　　］千円であります。</w:t>
      </w:r>
    </w:p>
    <w:p>
      <w:pPr>
        <w:pStyle w:val="Heading2"/>
        <w:keepNext/>
        <w:spacing w:before="280" w:after="140"/>
      </w:pPr>
      <w:r>
        <w:rPr>
          <w:rFonts w:ascii="Yu Gothic" w:hAnsi="Yu Gothic" w:eastAsia="Yu Gothic"/>
          <w:b/>
          <w:color w:val="2E74B5"/>
          <w:sz w:val="26"/>
        </w:rPr>
        <w:t>9. その他の注記</w:t>
      </w:r>
    </w:p>
    <w:p>
      <w:pPr>
        <w:spacing w:before="0" w:after="80" w:line="300" w:lineRule="auto"/>
      </w:pPr>
      <w:r>
        <w:rPr>
          <w:rFonts w:ascii="Yu Gothic" w:hAnsi="Yu Gothic" w:eastAsia="Yu Gothic"/>
          <w:b w:val="0"/>
          <w:i w:val="0"/>
          <w:color w:val="222222"/>
          <w:sz w:val="21"/>
        </w:rPr>
        <w:t>［該当がない場合はこの項目を削除］</w:t>
      </w:r>
    </w:p>
    <w:p>
      <w:pPr>
        <w:spacing w:before="0" w:after="80" w:line="300" w:lineRule="auto"/>
      </w:pPr>
      <w:r>
        <w:rPr>
          <w:rFonts w:ascii="Yu Gothic" w:hAnsi="Yu Gothic" w:eastAsia="Yu Gothic"/>
          <w:b w:val="0"/>
          <w:i w:val="0"/>
          <w:color w:val="222222"/>
          <w:sz w:val="21"/>
        </w:rPr>
        <w:t>上記以外で、会社の財産又は損益の状態を正確に判断するために必要な事項は次のとおりです。</w:t>
        <w:br/>
        <w:t>［内容を記載］</w:t>
      </w:r>
    </w:p>
    <w:p>
      <w:r>
        <w:br w:type="page"/>
      </w:r>
    </w:p>
    <w:p>
      <w:pPr>
        <w:pStyle w:val="Heading1"/>
        <w:keepNext/>
        <w:spacing w:before="360" w:after="200"/>
      </w:pPr>
      <w:r>
        <w:rPr>
          <w:rFonts w:ascii="Yu Gothic" w:hAnsi="Yu Gothic" w:eastAsia="Yu Gothic"/>
          <w:b/>
          <w:color w:val="2E74B5"/>
          <w:sz w:val="32"/>
        </w:rPr>
        <w:t>収益の計上基準 差し替え文例</w:t>
      </w:r>
    </w:p>
    <w:p>
      <w:pPr>
        <w:spacing w:before="0" w:after="120" w:line="300" w:lineRule="auto"/>
      </w:pPr>
      <w:r>
        <w:rPr>
          <w:rFonts w:ascii="Yu Gothic" w:hAnsi="Yu Gothic" w:eastAsia="Yu Gothic"/>
          <w:b w:val="0"/>
          <w:i w:val="0"/>
          <w:color w:val="222222"/>
          <w:sz w:val="21"/>
        </w:rPr>
        <w:t>重要な会計方針の「収益及び費用の計上基準」に差し込む文例です。主な事業に合うものを選び、不要な文例は削除してください。</w:t>
      </w:r>
    </w:p>
    <w:tbl>
      <w:tblPr>
        <w:tblW w:type="dxa" w:w="9360"/>
        <w:jc w:val="left"/>
        <w:tblLayout w:type="fixed"/>
        <w:tblLook w:firstColumn="1" w:firstRow="1" w:lastColumn="0" w:lastRow="0" w:noHBand="0" w:noVBand="1" w:val="04A0"/>
        <w:tblInd w:w="120" w:type="dxa"/>
      </w:tblPr>
      <w:tblGrid>
        <w:gridCol w:w="2300"/>
        <w:gridCol w:w="7060"/>
      </w:tblGrid>
      <w:tr>
        <w:tc>
          <w:tcPr>
            <w:tcW w:type="dxa" w:w="230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業種・取引</w:t>
            </w:r>
          </w:p>
        </w:tc>
        <w:tc>
          <w:tcPr>
            <w:tcW w:type="dxa" w:w="706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文例</w:t>
            </w:r>
          </w:p>
        </w:tc>
      </w:tr>
      <w:tr>
        <w:tc>
          <w:tcPr>
            <w:tcW w:type="dxa" w:w="2300"/>
          </w:tcPr>
          <w:p>
            <w:pPr>
              <w:spacing w:before="0" w:after="40" w:line="276" w:lineRule="auto"/>
            </w:pPr>
            <w:r>
              <w:rPr>
                <w:rFonts w:ascii="Yu Gothic" w:hAnsi="Yu Gothic" w:eastAsia="Yu Gothic"/>
                <w:b w:val="0"/>
                <w:color w:val="222222"/>
                <w:sz w:val="19"/>
              </w:rPr>
              <w:t>製造・卸売・汎用品販売</w:t>
            </w:r>
          </w:p>
        </w:tc>
        <w:tc>
          <w:tcPr>
            <w:tcW w:type="dxa" w:w="7060"/>
          </w:tcPr>
          <w:p>
            <w:pPr>
              <w:spacing w:before="0" w:after="40" w:line="276" w:lineRule="auto"/>
            </w:pPr>
            <w:r>
              <w:rPr>
                <w:rFonts w:ascii="Yu Gothic" w:hAnsi="Yu Gothic" w:eastAsia="Yu Gothic"/>
                <w:b w:val="0"/>
                <w:color w:val="222222"/>
                <w:sz w:val="19"/>
              </w:rPr>
              <w:t>当社は、主に［商品・製品］の製造及び販売を行っており、出荷時点で売上を計上しています。</w:t>
            </w:r>
          </w:p>
        </w:tc>
      </w:tr>
      <w:tr>
        <w:tc>
          <w:tcPr>
            <w:tcW w:type="dxa" w:w="2300"/>
          </w:tcPr>
          <w:p>
            <w:pPr>
              <w:spacing w:before="0" w:after="40" w:line="276" w:lineRule="auto"/>
            </w:pPr>
            <w:r>
              <w:rPr>
                <w:rFonts w:ascii="Yu Gothic" w:hAnsi="Yu Gothic" w:eastAsia="Yu Gothic"/>
                <w:b w:val="0"/>
                <w:color w:val="222222"/>
                <w:sz w:val="19"/>
              </w:rPr>
              <w:t>検収が必要な製品販売</w:t>
            </w:r>
          </w:p>
        </w:tc>
        <w:tc>
          <w:tcPr>
            <w:tcW w:type="dxa" w:w="7060"/>
          </w:tcPr>
          <w:p>
            <w:pPr>
              <w:spacing w:before="0" w:after="40" w:line="276" w:lineRule="auto"/>
            </w:pPr>
            <w:r>
              <w:rPr>
                <w:rFonts w:ascii="Yu Gothic" w:hAnsi="Yu Gothic" w:eastAsia="Yu Gothic"/>
                <w:b w:val="0"/>
                <w:color w:val="222222"/>
                <w:sz w:val="19"/>
              </w:rPr>
              <w:t>当社は、主に［製品名］の製造及び販売を行っており、顧客の検収時点で売上を計上しています。</w:t>
            </w:r>
          </w:p>
        </w:tc>
      </w:tr>
      <w:tr>
        <w:tc>
          <w:tcPr>
            <w:tcW w:type="dxa" w:w="2300"/>
          </w:tcPr>
          <w:p>
            <w:pPr>
              <w:spacing w:before="0" w:after="40" w:line="276" w:lineRule="auto"/>
            </w:pPr>
            <w:r>
              <w:rPr>
                <w:rFonts w:ascii="Yu Gothic" w:hAnsi="Yu Gothic" w:eastAsia="Yu Gothic"/>
                <w:b w:val="0"/>
                <w:color w:val="222222"/>
                <w:sz w:val="19"/>
              </w:rPr>
              <w:t>店舗小売</w:t>
            </w:r>
          </w:p>
        </w:tc>
        <w:tc>
          <w:tcPr>
            <w:tcW w:type="dxa" w:w="7060"/>
          </w:tcPr>
          <w:p>
            <w:pPr>
              <w:spacing w:before="0" w:after="40" w:line="276" w:lineRule="auto"/>
            </w:pPr>
            <w:r>
              <w:rPr>
                <w:rFonts w:ascii="Yu Gothic" w:hAnsi="Yu Gothic" w:eastAsia="Yu Gothic"/>
                <w:b w:val="0"/>
                <w:color w:val="222222"/>
                <w:sz w:val="19"/>
              </w:rPr>
              <w:t>当社は、主に［商品］を店舗で販売しており、顧客に商品を引き渡した時点で売上を計上しています。</w:t>
            </w:r>
          </w:p>
        </w:tc>
      </w:tr>
      <w:tr>
        <w:tc>
          <w:tcPr>
            <w:tcW w:type="dxa" w:w="2300"/>
          </w:tcPr>
          <w:p>
            <w:pPr>
              <w:spacing w:before="0" w:after="40" w:line="276" w:lineRule="auto"/>
            </w:pPr>
            <w:r>
              <w:rPr>
                <w:rFonts w:ascii="Yu Gothic" w:hAnsi="Yu Gothic" w:eastAsia="Yu Gothic"/>
                <w:b w:val="0"/>
                <w:color w:val="222222"/>
                <w:sz w:val="19"/>
              </w:rPr>
              <w:t>インターネット販売</w:t>
            </w:r>
          </w:p>
        </w:tc>
        <w:tc>
          <w:tcPr>
            <w:tcW w:type="dxa" w:w="7060"/>
          </w:tcPr>
          <w:p>
            <w:pPr>
              <w:spacing w:before="0" w:after="40" w:line="276" w:lineRule="auto"/>
            </w:pPr>
            <w:r>
              <w:rPr>
                <w:rFonts w:ascii="Yu Gothic" w:hAnsi="Yu Gothic" w:eastAsia="Yu Gothic"/>
                <w:b w:val="0"/>
                <w:color w:val="222222"/>
                <w:sz w:val="19"/>
              </w:rPr>
              <w:t>当社は、主に［商品］をインターネットを通じて販売しており、商品の出荷時点で売上を計上しています。</w:t>
            </w:r>
          </w:p>
        </w:tc>
      </w:tr>
      <w:tr>
        <w:tc>
          <w:tcPr>
            <w:tcW w:type="dxa" w:w="2300"/>
          </w:tcPr>
          <w:p>
            <w:pPr>
              <w:spacing w:before="0" w:after="40" w:line="276" w:lineRule="auto"/>
            </w:pPr>
            <w:r>
              <w:rPr>
                <w:rFonts w:ascii="Yu Gothic" w:hAnsi="Yu Gothic" w:eastAsia="Yu Gothic"/>
                <w:b w:val="0"/>
                <w:color w:val="222222"/>
                <w:sz w:val="19"/>
              </w:rPr>
              <w:t>継続サービス</w:t>
            </w:r>
          </w:p>
        </w:tc>
        <w:tc>
          <w:tcPr>
            <w:tcW w:type="dxa" w:w="7060"/>
          </w:tcPr>
          <w:p>
            <w:pPr>
              <w:spacing w:before="0" w:after="40" w:line="276" w:lineRule="auto"/>
            </w:pPr>
            <w:r>
              <w:rPr>
                <w:rFonts w:ascii="Yu Gothic" w:hAnsi="Yu Gothic" w:eastAsia="Yu Gothic"/>
                <w:b w:val="0"/>
                <w:color w:val="222222"/>
                <w:sz w:val="19"/>
              </w:rPr>
              <w:t>当社は、主に［サービス内容］を提供しており、期間の経過に応じて売上を計上しています。</w:t>
            </w:r>
          </w:p>
        </w:tc>
      </w:tr>
      <w:tr>
        <w:tc>
          <w:tcPr>
            <w:tcW w:type="dxa" w:w="2300"/>
          </w:tcPr>
          <w:p>
            <w:pPr>
              <w:spacing w:before="0" w:after="40" w:line="276" w:lineRule="auto"/>
            </w:pPr>
            <w:r>
              <w:rPr>
                <w:rFonts w:ascii="Yu Gothic" w:hAnsi="Yu Gothic" w:eastAsia="Yu Gothic"/>
                <w:b w:val="0"/>
                <w:color w:val="222222"/>
                <w:sz w:val="19"/>
              </w:rPr>
              <w:t>建設業</w:t>
            </w:r>
          </w:p>
        </w:tc>
        <w:tc>
          <w:tcPr>
            <w:tcW w:type="dxa" w:w="7060"/>
          </w:tcPr>
          <w:p>
            <w:pPr>
              <w:spacing w:before="0" w:after="40" w:line="276" w:lineRule="auto"/>
            </w:pPr>
            <w:r>
              <w:rPr>
                <w:rFonts w:ascii="Yu Gothic" w:hAnsi="Yu Gothic" w:eastAsia="Yu Gothic"/>
                <w:b w:val="0"/>
                <w:color w:val="222222"/>
                <w:sz w:val="19"/>
              </w:rPr>
              <w:t>当社は、主に［工事内容］の建設業を営んでおり、対象物の顧客への引渡し時点で売上を計上しています。</w:t>
            </w:r>
          </w:p>
        </w:tc>
      </w:tr>
      <w:tr>
        <w:tc>
          <w:tcPr>
            <w:tcW w:type="dxa" w:w="2300"/>
          </w:tcPr>
          <w:p>
            <w:pPr>
              <w:spacing w:before="0" w:after="40" w:line="276" w:lineRule="auto"/>
            </w:pPr>
            <w:r>
              <w:rPr>
                <w:rFonts w:ascii="Yu Gothic" w:hAnsi="Yu Gothic" w:eastAsia="Yu Gothic"/>
                <w:b w:val="0"/>
                <w:color w:val="222222"/>
                <w:sz w:val="19"/>
              </w:rPr>
              <w:t>システム受託開発</w:t>
            </w:r>
          </w:p>
        </w:tc>
        <w:tc>
          <w:tcPr>
            <w:tcW w:type="dxa" w:w="7060"/>
          </w:tcPr>
          <w:p>
            <w:pPr>
              <w:spacing w:before="0" w:after="40" w:line="276" w:lineRule="auto"/>
            </w:pPr>
            <w:r>
              <w:rPr>
                <w:rFonts w:ascii="Yu Gothic" w:hAnsi="Yu Gothic" w:eastAsia="Yu Gothic"/>
                <w:b w:val="0"/>
                <w:color w:val="222222"/>
                <w:sz w:val="19"/>
              </w:rPr>
              <w:t>当社は、主に［システム内容］の受託開発を行っており、対象物の顧客への引渡し時点で売上を計上しています。</w:t>
            </w:r>
          </w:p>
        </w:tc>
      </w:tr>
      <w:tr>
        <w:tc>
          <w:tcPr>
            <w:tcW w:type="dxa" w:w="2300"/>
          </w:tcPr>
          <w:p>
            <w:pPr>
              <w:spacing w:before="0" w:after="40" w:line="276" w:lineRule="auto"/>
            </w:pPr>
            <w:r>
              <w:rPr>
                <w:rFonts w:ascii="Yu Gothic" w:hAnsi="Yu Gothic" w:eastAsia="Yu Gothic"/>
                <w:b w:val="0"/>
                <w:color w:val="222222"/>
                <w:sz w:val="19"/>
              </w:rPr>
              <w:t>不動産仲介</w:t>
            </w:r>
          </w:p>
        </w:tc>
        <w:tc>
          <w:tcPr>
            <w:tcW w:type="dxa" w:w="7060"/>
          </w:tcPr>
          <w:p>
            <w:pPr>
              <w:spacing w:before="0" w:after="40" w:line="276" w:lineRule="auto"/>
            </w:pPr>
            <w:r>
              <w:rPr>
                <w:rFonts w:ascii="Yu Gothic" w:hAnsi="Yu Gothic" w:eastAsia="Yu Gothic"/>
                <w:b w:val="0"/>
                <w:color w:val="222222"/>
                <w:sz w:val="19"/>
              </w:rPr>
              <w:t>当社は、主に不動産の仲介業を行っており、仲介業務に係る取引完了日に仲介手数料を売上に計上しています。</w:t>
            </w:r>
          </w:p>
        </w:tc>
      </w:tr>
      <w:tr>
        <w:tc>
          <w:tcPr>
            <w:tcW w:type="dxa" w:w="2300"/>
          </w:tcPr>
          <w:p>
            <w:pPr>
              <w:spacing w:before="0" w:after="40" w:line="276" w:lineRule="auto"/>
            </w:pPr>
            <w:r>
              <w:rPr>
                <w:rFonts w:ascii="Yu Gothic" w:hAnsi="Yu Gothic" w:eastAsia="Yu Gothic"/>
                <w:b w:val="0"/>
                <w:color w:val="222222"/>
                <w:sz w:val="19"/>
              </w:rPr>
              <w:t>運送業</w:t>
            </w:r>
          </w:p>
        </w:tc>
        <w:tc>
          <w:tcPr>
            <w:tcW w:type="dxa" w:w="7060"/>
          </w:tcPr>
          <w:p>
            <w:pPr>
              <w:spacing w:before="0" w:after="40" w:line="276" w:lineRule="auto"/>
            </w:pPr>
            <w:r>
              <w:rPr>
                <w:rFonts w:ascii="Yu Gothic" w:hAnsi="Yu Gothic" w:eastAsia="Yu Gothic"/>
                <w:b w:val="0"/>
                <w:color w:val="222222"/>
                <w:sz w:val="19"/>
              </w:rPr>
              <w:t>当社は、主に運送業を行っており、運送業務の完了時点で売上を計上しています。</w:t>
            </w:r>
          </w:p>
        </w:tc>
      </w:tr>
    </w:tbl>
    <w:p>
      <w:pPr>
        <w:pStyle w:val="Heading1"/>
        <w:keepNext/>
        <w:spacing w:before="360" w:after="200"/>
      </w:pPr>
      <w:r>
        <w:rPr>
          <w:rFonts w:ascii="Yu Gothic" w:hAnsi="Yu Gothic" w:eastAsia="Yu Gothic"/>
          <w:b/>
          <w:color w:val="2E74B5"/>
          <w:sz w:val="32"/>
        </w:rPr>
        <w:t>今回あえて外した項目</w:t>
      </w:r>
    </w:p>
    <w:p>
      <w:pPr>
        <w:spacing w:before="0" w:after="120" w:line="300" w:lineRule="auto"/>
      </w:pPr>
      <w:r>
        <w:rPr>
          <w:rFonts w:ascii="Yu Gothic" w:hAnsi="Yu Gothic" w:eastAsia="Yu Gothic"/>
          <w:b w:val="0"/>
          <w:i w:val="0"/>
          <w:color w:val="222222"/>
          <w:sz w:val="21"/>
        </w:rPr>
        <w:t>中小企業・非公開会社で経常的に使うひな形にするため、次の項目は本文には入れていません。必要な会社だけ追加してください。</w:t>
      </w:r>
    </w:p>
    <w:tbl>
      <w:tblPr>
        <w:tblW w:type="dxa" w:w="9360"/>
        <w:jc w:val="left"/>
        <w:tblLayout w:type="fixed"/>
        <w:tblLook w:firstColumn="1" w:firstRow="1" w:lastColumn="0" w:lastRow="0" w:noHBand="0" w:noVBand="1" w:val="04A0"/>
        <w:tblInd w:w="120" w:type="dxa"/>
      </w:tblPr>
      <w:tblGrid>
        <w:gridCol w:w="3000"/>
        <w:gridCol w:w="6360"/>
      </w:tblGrid>
      <w:tr>
        <w:tc>
          <w:tcPr>
            <w:tcW w:type="dxa" w:w="300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項目</w:t>
            </w:r>
          </w:p>
        </w:tc>
        <w:tc>
          <w:tcPr>
            <w:tcW w:type="dxa" w:w="6360"/>
            <w:vAlign w:val="top"/>
            <w:tcMar>
              <w:top w:w="80" w:type="dxa"/>
              <w:start w:w="120" w:type="dxa"/>
              <w:bottom w:w="80" w:type="dxa"/>
              <w:end w:w="120" w:type="dxa"/>
            </w:tcMar>
            <w:tcBorders>
              <w:top w:val="single" w:sz="4" w:space="0" w:color="BFBFBF"/>
              <w:left w:val="single" w:sz="4" w:space="0" w:color="BFBFBF"/>
              <w:bottom w:val="single" w:sz="4" w:space="0" w:color="BFBFBF"/>
              <w:right w:val="single" w:sz="4" w:space="0" w:color="BFBFBF"/>
            </w:tcBorders>
            <w:shd w:fill="E8EEF5"/>
          </w:tcPr>
          <w:p>
            <w:pPr>
              <w:spacing w:before="0" w:after="40" w:line="276" w:lineRule="auto"/>
            </w:pPr>
            <w:r>
              <w:rPr>
                <w:rFonts w:ascii="Yu Gothic" w:hAnsi="Yu Gothic" w:eastAsia="Yu Gothic"/>
                <w:b/>
                <w:color w:val="1F4D78"/>
                <w:sz w:val="19"/>
              </w:rPr>
              <w:t>外した理由</w:t>
            </w:r>
          </w:p>
        </w:tc>
      </w:tr>
      <w:tr>
        <w:tc>
          <w:tcPr>
            <w:tcW w:type="dxa" w:w="3000"/>
          </w:tcPr>
          <w:p>
            <w:pPr>
              <w:spacing w:before="0" w:after="40" w:line="276" w:lineRule="auto"/>
            </w:pPr>
            <w:r>
              <w:rPr>
                <w:rFonts w:ascii="Yu Gothic" w:hAnsi="Yu Gothic" w:eastAsia="Yu Gothic"/>
                <w:b w:val="0"/>
                <w:color w:val="222222"/>
                <w:sz w:val="19"/>
              </w:rPr>
              <w:t>継続企業の前提に関する注記</w:t>
            </w:r>
          </w:p>
        </w:tc>
        <w:tc>
          <w:tcPr>
            <w:tcW w:type="dxa" w:w="6360"/>
          </w:tcPr>
          <w:p>
            <w:pPr>
              <w:spacing w:before="0" w:after="40" w:line="276" w:lineRule="auto"/>
            </w:pPr>
            <w:r>
              <w:rPr>
                <w:rFonts w:ascii="Yu Gothic" w:hAnsi="Yu Gothic" w:eastAsia="Yu Gothic"/>
                <w:b w:val="0"/>
                <w:color w:val="222222"/>
                <w:sz w:val="19"/>
              </w:rPr>
              <w:t>通常の非公開中小企業では経常的に使う項目ではないため。疑義がある場合は専門家確認のうえ追加。</w:t>
            </w:r>
          </w:p>
        </w:tc>
      </w:tr>
      <w:tr>
        <w:tc>
          <w:tcPr>
            <w:tcW w:type="dxa" w:w="3000"/>
          </w:tcPr>
          <w:p>
            <w:pPr>
              <w:spacing w:before="0" w:after="40" w:line="276" w:lineRule="auto"/>
            </w:pPr>
            <w:r>
              <w:rPr>
                <w:rFonts w:ascii="Yu Gothic" w:hAnsi="Yu Gothic" w:eastAsia="Yu Gothic"/>
                <w:b w:val="0"/>
                <w:color w:val="222222"/>
                <w:sz w:val="19"/>
              </w:rPr>
              <w:t>会計上の見積りに関する注記</w:t>
            </w:r>
          </w:p>
        </w:tc>
        <w:tc>
          <w:tcPr>
            <w:tcW w:type="dxa" w:w="6360"/>
          </w:tcPr>
          <w:p>
            <w:pPr>
              <w:spacing w:before="0" w:after="40" w:line="276" w:lineRule="auto"/>
            </w:pPr>
            <w:r>
              <w:rPr>
                <w:rFonts w:ascii="Yu Gothic" w:hAnsi="Yu Gothic" w:eastAsia="Yu Gothic"/>
                <w:b w:val="0"/>
                <w:color w:val="222222"/>
                <w:sz w:val="19"/>
              </w:rPr>
              <w:t>対象会社・適用基準により扱いが分かれるため。重要な見積りがある場合は追加。</w:t>
            </w:r>
          </w:p>
        </w:tc>
      </w:tr>
      <w:tr>
        <w:tc>
          <w:tcPr>
            <w:tcW w:type="dxa" w:w="3000"/>
          </w:tcPr>
          <w:p>
            <w:pPr>
              <w:spacing w:before="0" w:after="40" w:line="276" w:lineRule="auto"/>
            </w:pPr>
            <w:r>
              <w:rPr>
                <w:rFonts w:ascii="Yu Gothic" w:hAnsi="Yu Gothic" w:eastAsia="Yu Gothic"/>
                <w:b w:val="0"/>
                <w:color w:val="222222"/>
                <w:sz w:val="19"/>
              </w:rPr>
              <w:t>税効果会計、金融商品、賃貸等不動産、一株当たり情報</w:t>
            </w:r>
          </w:p>
        </w:tc>
        <w:tc>
          <w:tcPr>
            <w:tcW w:type="dxa" w:w="6360"/>
          </w:tcPr>
          <w:p>
            <w:pPr>
              <w:spacing w:before="0" w:after="40" w:line="276" w:lineRule="auto"/>
            </w:pPr>
            <w:r>
              <w:rPr>
                <w:rFonts w:ascii="Yu Gothic" w:hAnsi="Yu Gothic" w:eastAsia="Yu Gothic"/>
                <w:b w:val="0"/>
                <w:color w:val="222222"/>
                <w:sz w:val="19"/>
              </w:rPr>
              <w:t>会社区分や重要性により必要性が変わり、経常利用の削除式ひな形には重くなりやすいため。</w:t>
            </w:r>
          </w:p>
        </w:tc>
      </w:tr>
      <w:tr>
        <w:tc>
          <w:tcPr>
            <w:tcW w:type="dxa" w:w="3000"/>
          </w:tcPr>
          <w:p>
            <w:pPr>
              <w:spacing w:before="0" w:after="40" w:line="276" w:lineRule="auto"/>
            </w:pPr>
            <w:r>
              <w:rPr>
                <w:rFonts w:ascii="Yu Gothic" w:hAnsi="Yu Gothic" w:eastAsia="Yu Gothic"/>
                <w:b w:val="0"/>
                <w:color w:val="222222"/>
                <w:sz w:val="19"/>
              </w:rPr>
              <w:t>持分法損益等、連結配当規制適用会社</w:t>
            </w:r>
          </w:p>
        </w:tc>
        <w:tc>
          <w:tcPr>
            <w:tcW w:type="dxa" w:w="6360"/>
          </w:tcPr>
          <w:p>
            <w:pPr>
              <w:spacing w:before="0" w:after="40" w:line="276" w:lineRule="auto"/>
            </w:pPr>
            <w:r>
              <w:rPr>
                <w:rFonts w:ascii="Yu Gothic" w:hAnsi="Yu Gothic" w:eastAsia="Yu Gothic"/>
                <w:b w:val="0"/>
                <w:color w:val="222222"/>
                <w:sz w:val="19"/>
              </w:rPr>
              <w:t>通常の中小企業では該当頻度が低いため。</w:t>
            </w:r>
          </w:p>
        </w:tc>
      </w:tr>
    </w:tbl>
    <w:p>
      <w:pPr>
        <w:pStyle w:val="Heading1"/>
        <w:keepNext/>
        <w:spacing w:before="360" w:after="200"/>
      </w:pPr>
      <w:r>
        <w:rPr>
          <w:rFonts w:ascii="Yu Gothic" w:hAnsi="Yu Gothic" w:eastAsia="Yu Gothic"/>
          <w:b/>
          <w:color w:val="2E74B5"/>
          <w:sz w:val="32"/>
        </w:rPr>
        <w:t>参考</w:t>
      </w:r>
    </w:p>
    <w:p>
      <w:pPr>
        <w:spacing w:before="0" w:after="120" w:line="300" w:lineRule="auto"/>
      </w:pPr>
      <w:r>
        <w:rPr>
          <w:rFonts w:ascii="Yu Gothic" w:hAnsi="Yu Gothic" w:eastAsia="Yu Gothic"/>
          <w:b w:val="0"/>
          <w:i w:val="0"/>
          <w:color w:val="595959"/>
          <w:sz w:val="19"/>
        </w:rPr>
        <w:t>本ひな形は、添付PDF「chushoshishin230510.pdf」の個別注記表に関する箇所（PDFページ48-53、株主資本等変動計算書に関する注記例のPDFページ61-62、収益の計上基準の注記例のPDFページ63-64）を確認し、中小企業で経常的に使いやすい項目へ再構成したものです。</w:t>
      </w:r>
    </w:p>
    <w:p>
      <w:pPr>
        <w:spacing w:before="0" w:after="120" w:line="300" w:lineRule="auto"/>
      </w:pPr>
      <w:r>
        <w:rPr>
          <w:rFonts w:ascii="Yu Gothic" w:hAnsi="Yu Gothic" w:eastAsia="Yu Gothic"/>
          <w:b/>
          <w:i w:val="0"/>
          <w:color w:val="9C0006"/>
          <w:sz w:val="19"/>
        </w:rPr>
        <w:t>注意：このひな形は作成補助用です。会社の実態、会社区分、最新の法令・会計基準に照らして、最終確認は税理士等の専門家が行ってください。</w:t>
      </w:r>
    </w:p>
    <w:sectPr w:rsidR="00FC693F" w:rsidRPr="0006063C" w:rsidSect="00034616">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Yu Gothic"/>
        <w:color w:val="595959"/>
        <w:sz w:val="18"/>
      </w:rPr>
      <w:t>個別注記表ひな形（中小企業向け）</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Yu Gothic" w:hAnsi="Yu Gothic" w:eastAsia="Yu Gothi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Yu Gothic" w:hAnsi="Yu Gothic" w:eastAsia="Yu Goth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Yu Gothic" w:hAnsi="Yu Gothic" w:eastAsia="Yu Goth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Yu Gothic" w:hAnsi="Yu Gothic" w:eastAsia="Yu Gothi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個別注記表ひな形（中小企業向け・削除式）</dc:title>
  <dc:subject>中小企業向けの個別注記表作成補助テンプレート</dc:subject>
  <dc:creator>Codex</dc:creator>
  <cp:keywords/>
  <dc:description>generated by python-docx</dc:description>
  <cp:lastModifiedBy/>
  <cp:revision>1</cp:revision>
  <dcterms:created xsi:type="dcterms:W3CDTF">2013-12-23T23:15:00Z</dcterms:created>
  <dcterms:modified xsi:type="dcterms:W3CDTF">2013-12-23T23:15:00Z</dcterms:modified>
  <cp:category/>
</cp:coreProperties>
</file>